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97" w:rsidRPr="00484F97" w:rsidRDefault="00484F97" w:rsidP="00484F97">
      <w:pPr>
        <w:jc w:val="center"/>
        <w:rPr>
          <w:rFonts w:ascii="Astana Pro" w:hAnsi="Astana Pro"/>
          <w:b/>
          <w:sz w:val="28"/>
          <w:szCs w:val="28"/>
          <w:lang w:val="en-US"/>
        </w:rPr>
      </w:pPr>
      <w:r w:rsidRPr="00484F97">
        <w:rPr>
          <w:rFonts w:ascii="Astana Pro" w:hAnsi="Astana Pro"/>
          <w:b/>
          <w:sz w:val="28"/>
          <w:szCs w:val="28"/>
          <w:lang w:val="en-US"/>
        </w:rPr>
        <w:t>CRP</w:t>
      </w:r>
    </w:p>
    <w:p w:rsidR="002410F3" w:rsidRDefault="00484F97" w:rsidP="00484F97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 w:rsidRPr="00484F97">
        <w:rPr>
          <w:rFonts w:ascii="Astana Pro" w:hAnsi="Astana Pro"/>
          <w:b/>
          <w:sz w:val="28"/>
          <w:szCs w:val="28"/>
        </w:rPr>
        <w:t>Набор для определения  С-реактивного белка в сыворотке, плазме или цельной крови</w:t>
      </w:r>
      <w:r>
        <w:rPr>
          <w:rFonts w:ascii="Astana Pro" w:hAnsi="Astana Pro"/>
          <w:b/>
          <w:sz w:val="28"/>
          <w:szCs w:val="28"/>
          <w:lang w:val="en-US"/>
        </w:rPr>
        <w:t xml:space="preserve"> </w:t>
      </w:r>
      <w:r w:rsidRPr="00484F97">
        <w:rPr>
          <w:rFonts w:ascii="Astana Pro" w:hAnsi="Astana Pro"/>
          <w:b/>
          <w:sz w:val="28"/>
          <w:szCs w:val="28"/>
        </w:rPr>
        <w:t>дл</w:t>
      </w:r>
      <w:r w:rsidRPr="00484F97">
        <w:rPr>
          <w:rFonts w:ascii="Astana Pro" w:hAnsi="Astana Pro"/>
          <w:b/>
          <w:sz w:val="28"/>
          <w:szCs w:val="28"/>
        </w:rPr>
        <w:t>я in vitro диа гностики</w:t>
      </w:r>
    </w:p>
    <w:p w:rsidR="00484F97" w:rsidRDefault="00484F97" w:rsidP="00484F97">
      <w:pPr>
        <w:spacing w:after="0"/>
        <w:ind w:firstLine="567"/>
        <w:rPr>
          <w:rFonts w:ascii="Astana Pro" w:hAnsi="Astana Pro"/>
          <w:b/>
          <w:sz w:val="24"/>
          <w:szCs w:val="24"/>
          <w:lang w:val="ru-RU"/>
        </w:rPr>
      </w:pPr>
    </w:p>
    <w:p w:rsidR="00484F97" w:rsidRPr="00484F97" w:rsidRDefault="00484F97" w:rsidP="00484F97">
      <w:pPr>
        <w:spacing w:after="0"/>
        <w:ind w:firstLine="567"/>
        <w:rPr>
          <w:rFonts w:ascii="Astana Pro" w:hAnsi="Astana Pro"/>
          <w:b/>
          <w:sz w:val="24"/>
          <w:szCs w:val="24"/>
          <w:lang w:val="ru-RU"/>
        </w:rPr>
      </w:pPr>
      <w:r w:rsidRPr="00484F97">
        <w:rPr>
          <w:rFonts w:ascii="Astana Pro" w:hAnsi="Astana Pro"/>
          <w:b/>
          <w:sz w:val="24"/>
          <w:szCs w:val="24"/>
          <w:lang w:val="ru-RU"/>
        </w:rPr>
        <w:t>Назначение</w:t>
      </w:r>
    </w:p>
    <w:p w:rsidR="00484F97" w:rsidRDefault="00484F97" w:rsidP="00484F97">
      <w:pPr>
        <w:spacing w:after="0"/>
        <w:ind w:firstLine="567"/>
        <w:rPr>
          <w:rFonts w:ascii="Astana Pro" w:hAnsi="Astana Pro"/>
          <w:sz w:val="24"/>
          <w:szCs w:val="24"/>
        </w:rPr>
      </w:pPr>
      <w:r w:rsidRPr="00484F97">
        <w:rPr>
          <w:rFonts w:ascii="Astana Pro" w:hAnsi="Astana Pro"/>
          <w:sz w:val="24"/>
          <w:szCs w:val="24"/>
        </w:rPr>
        <w:t>Данный набор предназначен для быстрого in vitro определения С-реактивного белка (СРБ) в человеческой сыворотке, плазме или цельной крови.</w:t>
      </w:r>
    </w:p>
    <w:p w:rsidR="00484F97" w:rsidRPr="00484F97" w:rsidRDefault="00484F97" w:rsidP="00484F97">
      <w:pPr>
        <w:spacing w:after="0"/>
        <w:ind w:firstLine="567"/>
        <w:rPr>
          <w:rFonts w:ascii="Astana Pro" w:hAnsi="Astana Pro"/>
          <w:b/>
          <w:sz w:val="24"/>
          <w:szCs w:val="24"/>
        </w:rPr>
      </w:pPr>
      <w:r w:rsidRPr="00484F97">
        <w:rPr>
          <w:rFonts w:ascii="Astana Pro" w:hAnsi="Astana Pro"/>
          <w:b/>
          <w:sz w:val="24"/>
          <w:szCs w:val="24"/>
        </w:rPr>
        <w:t>Принцип метода</w:t>
      </w:r>
    </w:p>
    <w:p w:rsidR="00484F97" w:rsidRDefault="00484F97" w:rsidP="00484F97">
      <w:pPr>
        <w:spacing w:after="0"/>
        <w:ind w:firstLine="567"/>
        <w:jc w:val="both"/>
        <w:rPr>
          <w:rFonts w:ascii="Astana Pro" w:hAnsi="Astana Pro"/>
          <w:sz w:val="24"/>
          <w:szCs w:val="24"/>
          <w:lang w:val="ru-RU"/>
        </w:rPr>
      </w:pPr>
      <w:r w:rsidRPr="00484F97">
        <w:rPr>
          <w:rFonts w:ascii="Astana Pro" w:hAnsi="Astana Pro"/>
          <w:sz w:val="24"/>
          <w:szCs w:val="24"/>
        </w:rPr>
        <w:t>Данный тест основан на методе твердофазного иммунометрического анализа сэндвичевого типа. В рабочей ячейке реакционной камеры находится мембрана, покрытая моноклональными антителами к СРБ. Разбавленнный образец вносится в рабочую ячейку. При прохождении образца через ячейку  СРБ связывается с антителами. Фиксированный на мембране СРБ связывает коньюгат частиц золота с антителами, добавляемый на следующем этапе реакции, с образованием сэндвича. Несвязавшийся коньюгат удаляется с мембраны промывающим раствором. Абсорбирующая бумага, находящаяся под мембраной, поглощает избыток жидкости. В присутствии патологическогих количеств СРБ мембрана рабочей ячейки окрашивается в красно-коричневый цвет, интенсивность окраски  пропорциональна концентрации СРБ в образце. Интенсивность окраски определяется количественно с использованием NycoCard Reader II</w:t>
      </w:r>
      <w:r>
        <w:rPr>
          <w:rFonts w:ascii="Astana Pro" w:hAnsi="Astana Pro"/>
          <w:sz w:val="24"/>
          <w:szCs w:val="24"/>
          <w:lang w:val="ru-RU"/>
        </w:rPr>
        <w:t>.</w:t>
      </w:r>
    </w:p>
    <w:p w:rsidR="00484F97" w:rsidRDefault="00484F97" w:rsidP="00484F97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  <w:lang w:val="ru-RU"/>
        </w:rPr>
      </w:pPr>
      <w:r w:rsidRPr="00484F97">
        <w:rPr>
          <w:rFonts w:ascii="Astana Pro" w:hAnsi="Astana Pro"/>
          <w:b/>
          <w:sz w:val="24"/>
          <w:szCs w:val="24"/>
          <w:lang w:val="ru-RU"/>
        </w:rPr>
        <w:t>Реагенты, входящие в состав набора: 48 (24) тестов</w:t>
      </w:r>
    </w:p>
    <w:p w:rsidR="00484F97" w:rsidRPr="00484F97" w:rsidRDefault="00484F97" w:rsidP="00484F97">
      <w:pPr>
        <w:pStyle w:val="3"/>
        <w:spacing w:before="97"/>
        <w:ind w:left="0"/>
        <w:rPr>
          <w:rFonts w:ascii="Astana Pro" w:hAnsi="Astana Pro"/>
          <w:b w:val="0"/>
          <w:bCs w:val="0"/>
          <w:sz w:val="24"/>
          <w:szCs w:val="24"/>
        </w:rPr>
      </w:pPr>
      <w:r w:rsidRPr="00484F97">
        <w:rPr>
          <w:rFonts w:ascii="Astana Pro" w:hAnsi="Astana Pro" w:cs="Times New Roman"/>
          <w:spacing w:val="-1"/>
          <w:sz w:val="24"/>
          <w:szCs w:val="24"/>
        </w:rPr>
        <w:t>TD</w:t>
      </w:r>
      <w:r w:rsidRPr="00484F97">
        <w:rPr>
          <w:rFonts w:ascii="Astana Pro" w:hAnsi="Astana Pro" w:cs="Times New Roman"/>
          <w:spacing w:val="-4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–</w:t>
      </w:r>
      <w:r w:rsidRPr="00484F97">
        <w:rPr>
          <w:rFonts w:ascii="Astana Pro" w:hAnsi="Astana Pro"/>
          <w:spacing w:val="-3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Реакционная</w:t>
      </w:r>
      <w:r w:rsidRPr="00484F97">
        <w:rPr>
          <w:rFonts w:ascii="Astana Pro" w:hAnsi="Astana Pro"/>
          <w:spacing w:val="-4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камера</w:t>
      </w:r>
      <w:r w:rsidRPr="00484F97">
        <w:rPr>
          <w:rFonts w:ascii="Astana Pro" w:hAnsi="Astana Pro"/>
          <w:spacing w:val="-3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2</w:t>
      </w:r>
      <w:r w:rsidRPr="00484F97">
        <w:rPr>
          <w:rFonts w:ascii="Astana Pro" w:hAnsi="Astana Pro"/>
          <w:spacing w:val="-3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(1)</w:t>
      </w:r>
      <w:r w:rsidRPr="00484F97">
        <w:rPr>
          <w:rFonts w:ascii="Astana Pro" w:hAnsi="Astana Pro"/>
          <w:spacing w:val="-4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х</w:t>
      </w:r>
      <w:r w:rsidRPr="00484F97">
        <w:rPr>
          <w:rFonts w:ascii="Astana Pro" w:hAnsi="Astana Pro"/>
          <w:spacing w:val="-5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24</w:t>
      </w:r>
      <w:r w:rsidRPr="00484F97">
        <w:rPr>
          <w:rFonts w:ascii="Astana Pro" w:hAnsi="Astana Pro"/>
          <w:spacing w:val="-3"/>
          <w:sz w:val="24"/>
          <w:szCs w:val="24"/>
        </w:rPr>
        <w:t xml:space="preserve"> </w:t>
      </w:r>
      <w:r w:rsidRPr="00484F97">
        <w:rPr>
          <w:rFonts w:ascii="Astana Pro" w:hAnsi="Astana Pro"/>
          <w:spacing w:val="1"/>
          <w:sz w:val="24"/>
          <w:szCs w:val="24"/>
        </w:rPr>
        <w:t>шт</w:t>
      </w:r>
    </w:p>
    <w:p w:rsidR="00484F97" w:rsidRPr="00484F97" w:rsidRDefault="00484F97" w:rsidP="00484F97">
      <w:pPr>
        <w:pStyle w:val="a3"/>
        <w:spacing w:before="1"/>
        <w:ind w:left="0"/>
        <w:rPr>
          <w:rFonts w:ascii="Astana Pro" w:hAnsi="Astana Pro"/>
          <w:sz w:val="24"/>
          <w:szCs w:val="24"/>
        </w:rPr>
      </w:pPr>
      <w:r w:rsidRPr="00484F97">
        <w:rPr>
          <w:rFonts w:ascii="Astana Pro" w:hAnsi="Astana Pro"/>
          <w:spacing w:val="-1"/>
          <w:sz w:val="24"/>
          <w:szCs w:val="24"/>
        </w:rPr>
        <w:t>Пластиковые</w:t>
      </w:r>
      <w:r w:rsidRPr="00484F97">
        <w:rPr>
          <w:rFonts w:ascii="Astana Pro" w:hAnsi="Astana Pro"/>
          <w:spacing w:val="-10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камеры,</w:t>
      </w:r>
      <w:r w:rsidRPr="00484F97">
        <w:rPr>
          <w:rFonts w:ascii="Astana Pro" w:hAnsi="Astana Pro"/>
          <w:spacing w:val="-9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содержащие</w:t>
      </w:r>
      <w:r w:rsidRPr="00484F97">
        <w:rPr>
          <w:rFonts w:ascii="Astana Pro" w:hAnsi="Astana Pro"/>
          <w:spacing w:val="-11"/>
          <w:sz w:val="24"/>
          <w:szCs w:val="24"/>
        </w:rPr>
        <w:t xml:space="preserve"> </w:t>
      </w:r>
      <w:r w:rsidRPr="00484F97">
        <w:rPr>
          <w:rFonts w:ascii="Astana Pro" w:hAnsi="Astana Pro"/>
          <w:spacing w:val="-1"/>
          <w:sz w:val="24"/>
          <w:szCs w:val="24"/>
        </w:rPr>
        <w:t>мембрану,</w:t>
      </w:r>
      <w:r w:rsidRPr="00484F97">
        <w:rPr>
          <w:rFonts w:ascii="Astana Pro" w:hAnsi="Astana Pro"/>
          <w:spacing w:val="-11"/>
          <w:sz w:val="24"/>
          <w:szCs w:val="24"/>
        </w:rPr>
        <w:t xml:space="preserve"> </w:t>
      </w:r>
      <w:r w:rsidRPr="00484F97">
        <w:rPr>
          <w:rFonts w:ascii="Astana Pro" w:hAnsi="Astana Pro"/>
          <w:spacing w:val="-1"/>
          <w:sz w:val="24"/>
          <w:szCs w:val="24"/>
        </w:rPr>
        <w:t>покрытую</w:t>
      </w:r>
      <w:r w:rsidRPr="00484F97">
        <w:rPr>
          <w:rFonts w:ascii="Astana Pro" w:hAnsi="Astana Pro"/>
          <w:spacing w:val="-12"/>
          <w:sz w:val="24"/>
          <w:szCs w:val="24"/>
        </w:rPr>
        <w:t xml:space="preserve"> </w:t>
      </w:r>
      <w:r w:rsidRPr="00484F97">
        <w:rPr>
          <w:rFonts w:ascii="Astana Pro" w:hAnsi="Astana Pro"/>
          <w:spacing w:val="-1"/>
          <w:sz w:val="24"/>
          <w:szCs w:val="24"/>
        </w:rPr>
        <w:t>моноклональными</w:t>
      </w:r>
      <w:r w:rsidRPr="00484F97">
        <w:rPr>
          <w:rFonts w:ascii="Astana Pro" w:hAnsi="Astana Pro"/>
          <w:spacing w:val="-13"/>
          <w:sz w:val="24"/>
          <w:szCs w:val="24"/>
        </w:rPr>
        <w:t xml:space="preserve"> </w:t>
      </w:r>
      <w:r w:rsidRPr="00484F97">
        <w:rPr>
          <w:rFonts w:ascii="Astana Pro" w:hAnsi="Astana Pro"/>
          <w:spacing w:val="-1"/>
          <w:sz w:val="24"/>
          <w:szCs w:val="24"/>
        </w:rPr>
        <w:t>антителами</w:t>
      </w:r>
      <w:r w:rsidRPr="00484F97">
        <w:rPr>
          <w:rFonts w:ascii="Astana Pro" w:hAnsi="Astana Pro"/>
          <w:spacing w:val="79"/>
          <w:w w:val="99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к</w:t>
      </w:r>
      <w:r w:rsidRPr="00484F97">
        <w:rPr>
          <w:rFonts w:ascii="Astana Pro" w:hAnsi="Astana Pro"/>
          <w:spacing w:val="-6"/>
          <w:sz w:val="24"/>
          <w:szCs w:val="24"/>
        </w:rPr>
        <w:t xml:space="preserve"> </w:t>
      </w:r>
      <w:r w:rsidRPr="00484F97">
        <w:rPr>
          <w:rFonts w:ascii="Astana Pro" w:hAnsi="Astana Pro"/>
          <w:sz w:val="24"/>
          <w:szCs w:val="24"/>
        </w:rPr>
        <w:t>СРБ</w:t>
      </w:r>
    </w:p>
    <w:p w:rsidR="00484F97" w:rsidRDefault="00484F97" w:rsidP="00484F97">
      <w:pPr>
        <w:spacing w:after="0" w:line="240" w:lineRule="auto"/>
        <w:ind w:right="4114"/>
        <w:rPr>
          <w:rFonts w:ascii="Astana Pro" w:eastAsia="Times New Roman" w:hAnsi="Astana Pro" w:cs="Times New Roman"/>
          <w:b/>
          <w:bCs/>
          <w:spacing w:val="1"/>
          <w:sz w:val="24"/>
          <w:szCs w:val="24"/>
        </w:rPr>
      </w:pP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R1</w:t>
      </w:r>
      <w:r w:rsidRPr="00484F97">
        <w:rPr>
          <w:rFonts w:ascii="Astana Pro" w:eastAsia="Times New Roman" w:hAnsi="Astana Pro" w:cs="Times New Roman"/>
          <w:b/>
          <w:bCs/>
          <w:spacing w:val="-2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–</w:t>
      </w:r>
      <w:r w:rsidRPr="00484F97">
        <w:rPr>
          <w:rFonts w:ascii="Astana Pro" w:eastAsia="Times New Roman" w:hAnsi="Astana Pro" w:cs="Times New Roman"/>
          <w:b/>
          <w:bCs/>
          <w:spacing w:val="-2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Разбавитель</w:t>
      </w:r>
      <w:r w:rsidRPr="00484F97">
        <w:rPr>
          <w:rFonts w:ascii="Astana Pro" w:eastAsia="Times New Roman" w:hAnsi="Astana Pro" w:cs="Times New Roman"/>
          <w:b/>
          <w:bCs/>
          <w:spacing w:val="45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2</w:t>
      </w:r>
      <w:r w:rsidRPr="00484F97">
        <w:rPr>
          <w:rFonts w:ascii="Astana Pro" w:eastAsia="Times New Roman" w:hAnsi="Astana Pro" w:cs="Times New Roman"/>
          <w:b/>
          <w:bCs/>
          <w:spacing w:val="-2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(1)</w:t>
      </w:r>
      <w:r w:rsidRPr="00484F97">
        <w:rPr>
          <w:rFonts w:ascii="Astana Pro" w:eastAsia="Times New Roman" w:hAnsi="Astana Pro" w:cs="Times New Roman"/>
          <w:b/>
          <w:bCs/>
          <w:spacing w:val="-3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х</w:t>
      </w:r>
      <w:r w:rsidRPr="00484F97">
        <w:rPr>
          <w:rFonts w:ascii="Astana Pro" w:eastAsia="Times New Roman" w:hAnsi="Astana Pro" w:cs="Times New Roman"/>
          <w:b/>
          <w:bCs/>
          <w:spacing w:val="-3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26</w:t>
      </w:r>
      <w:r w:rsidRPr="00484F97">
        <w:rPr>
          <w:rFonts w:ascii="Astana Pro" w:eastAsia="Times New Roman" w:hAnsi="Astana Pro" w:cs="Times New Roman"/>
          <w:b/>
          <w:bCs/>
          <w:spacing w:val="-2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х</w:t>
      </w:r>
      <w:r w:rsidRPr="00484F97">
        <w:rPr>
          <w:rFonts w:ascii="Astana Pro" w:eastAsia="Times New Roman" w:hAnsi="Astana Pro" w:cs="Times New Roman"/>
          <w:b/>
          <w:bCs/>
          <w:spacing w:val="-4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0.4</w:t>
      </w:r>
      <w:r w:rsidRPr="00484F97">
        <w:rPr>
          <w:rFonts w:ascii="Astana Pro" w:eastAsia="Times New Roman" w:hAnsi="Astana Pro" w:cs="Times New Roman"/>
          <w:b/>
          <w:bCs/>
          <w:spacing w:val="-2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мл</w:t>
      </w:r>
      <w:r w:rsidRPr="00484F97">
        <w:rPr>
          <w:rFonts w:ascii="Astana Pro" w:eastAsia="Times New Roman" w:hAnsi="Astana Pro" w:cs="Times New Roman"/>
          <w:b/>
          <w:bCs/>
          <w:spacing w:val="24"/>
          <w:w w:val="99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sz w:val="24"/>
          <w:szCs w:val="24"/>
        </w:rPr>
        <w:t>Боратный</w:t>
      </w:r>
      <w:r w:rsidRPr="00484F97">
        <w:rPr>
          <w:rFonts w:ascii="Astana Pro" w:eastAsia="Times New Roman" w:hAnsi="Astana Pro" w:cs="Times New Roman"/>
          <w:spacing w:val="-8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spacing w:val="-1"/>
          <w:sz w:val="24"/>
          <w:szCs w:val="24"/>
        </w:rPr>
        <w:t>буфер</w:t>
      </w:r>
      <w:r w:rsidRPr="00484F97">
        <w:rPr>
          <w:rFonts w:ascii="Astana Pro" w:eastAsia="Times New Roman" w:hAnsi="Astana Pro" w:cs="Times New Roman"/>
          <w:spacing w:val="-5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sz w:val="24"/>
          <w:szCs w:val="24"/>
        </w:rPr>
        <w:t>(рН</w:t>
      </w:r>
      <w:r w:rsidRPr="00484F97">
        <w:rPr>
          <w:rFonts w:ascii="Astana Pro" w:eastAsia="Times New Roman" w:hAnsi="Astana Pro" w:cs="Times New Roman"/>
          <w:spacing w:val="-6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sz w:val="24"/>
          <w:szCs w:val="24"/>
        </w:rPr>
        <w:t>9.0)</w:t>
      </w:r>
      <w:r w:rsidRPr="00484F97">
        <w:rPr>
          <w:rFonts w:ascii="Astana Pro" w:eastAsia="Times New Roman" w:hAnsi="Astana Pro" w:cs="Times New Roman"/>
          <w:spacing w:val="-7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sz w:val="24"/>
          <w:szCs w:val="24"/>
        </w:rPr>
        <w:t>с</w:t>
      </w:r>
      <w:r w:rsidRPr="00484F97">
        <w:rPr>
          <w:rFonts w:ascii="Astana Pro" w:eastAsia="Times New Roman" w:hAnsi="Astana Pro" w:cs="Times New Roman"/>
          <w:spacing w:val="-6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spacing w:val="-1"/>
          <w:sz w:val="24"/>
          <w:szCs w:val="24"/>
        </w:rPr>
        <w:t>детергентом</w:t>
      </w:r>
      <w:r w:rsidRPr="00484F97">
        <w:rPr>
          <w:rFonts w:ascii="Astana Pro" w:eastAsia="Times New Roman" w:hAnsi="Astana Pro" w:cs="Times New Roman"/>
          <w:spacing w:val="28"/>
          <w:w w:val="99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R2</w:t>
      </w:r>
      <w:r w:rsidRPr="00484F97">
        <w:rPr>
          <w:rFonts w:ascii="Astana Pro" w:eastAsia="Times New Roman" w:hAnsi="Astana Pro" w:cs="Times New Roman"/>
          <w:b/>
          <w:bCs/>
          <w:spacing w:val="-2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–</w:t>
      </w:r>
      <w:r w:rsidRPr="00484F97">
        <w:rPr>
          <w:rFonts w:ascii="Astana Pro" w:eastAsia="Times New Roman" w:hAnsi="Astana Pro" w:cs="Times New Roman"/>
          <w:b/>
          <w:bCs/>
          <w:spacing w:val="-1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 xml:space="preserve">Коньюгат </w:t>
      </w:r>
      <w:r w:rsidRPr="00484F97">
        <w:rPr>
          <w:rFonts w:ascii="Astana Pro" w:eastAsia="Times New Roman" w:hAnsi="Astana Pro" w:cs="Times New Roman"/>
          <w:b/>
          <w:bCs/>
          <w:spacing w:val="47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1</w:t>
      </w:r>
      <w:r w:rsidRPr="00484F97">
        <w:rPr>
          <w:rFonts w:ascii="Astana Pro" w:eastAsia="Times New Roman" w:hAnsi="Astana Pro" w:cs="Times New Roman"/>
          <w:b/>
          <w:bCs/>
          <w:spacing w:val="-1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z w:val="24"/>
          <w:szCs w:val="24"/>
        </w:rPr>
        <w:t>х</w:t>
      </w:r>
      <w:r w:rsidRPr="00484F97">
        <w:rPr>
          <w:rFonts w:ascii="Astana Pro" w:eastAsia="Times New Roman" w:hAnsi="Astana Pro" w:cs="Times New Roman"/>
          <w:b/>
          <w:bCs/>
          <w:spacing w:val="-4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pacing w:val="1"/>
          <w:sz w:val="24"/>
          <w:szCs w:val="24"/>
        </w:rPr>
        <w:t>3.5</w:t>
      </w:r>
      <w:r w:rsidRPr="00484F97">
        <w:rPr>
          <w:rFonts w:ascii="Astana Pro" w:eastAsia="Times New Roman" w:hAnsi="Astana Pro" w:cs="Times New Roman"/>
          <w:b/>
          <w:bCs/>
          <w:spacing w:val="-1"/>
          <w:sz w:val="24"/>
          <w:szCs w:val="24"/>
        </w:rPr>
        <w:t xml:space="preserve"> </w:t>
      </w:r>
      <w:r w:rsidRPr="00484F97">
        <w:rPr>
          <w:rFonts w:ascii="Astana Pro" w:eastAsia="Times New Roman" w:hAnsi="Astana Pro" w:cs="Times New Roman"/>
          <w:b/>
          <w:bCs/>
          <w:spacing w:val="1"/>
          <w:sz w:val="24"/>
          <w:szCs w:val="24"/>
        </w:rPr>
        <w:t>мл</w:t>
      </w:r>
    </w:p>
    <w:p w:rsidR="00484F97" w:rsidRDefault="00484F97" w:rsidP="00484F97">
      <w:pPr>
        <w:spacing w:after="0" w:line="240" w:lineRule="auto"/>
        <w:ind w:right="-1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Раствор,  содержащий  моноклональные  антитела  к  СРБ,  меченные  мельчайшими частицами золота.</w:t>
      </w:r>
    </w:p>
    <w:p w:rsidR="00484F97" w:rsidRDefault="00484F97" w:rsidP="00484F97">
      <w:pPr>
        <w:spacing w:after="0"/>
        <w:rPr>
          <w:rFonts w:ascii="Astana Pro" w:eastAsia="Times New Roman" w:hAnsi="Astana Pro" w:cs="Times New Roman"/>
          <w:b/>
          <w:sz w:val="24"/>
          <w:szCs w:val="24"/>
        </w:rPr>
      </w:pPr>
      <w:r w:rsidRPr="00484F97">
        <w:rPr>
          <w:rFonts w:ascii="Astana Pro" w:eastAsia="Times New Roman" w:hAnsi="Astana Pro" w:cs="Times New Roman"/>
          <w:b/>
          <w:sz w:val="24"/>
          <w:szCs w:val="24"/>
        </w:rPr>
        <w:t>R3 – Промывающий раствор  1 х 3.0 мл</w:t>
      </w:r>
    </w:p>
    <w:p w:rsidR="00484F97" w:rsidRPr="00484F97" w:rsidRDefault="00484F97" w:rsidP="00484F97">
      <w:pPr>
        <w:spacing w:after="0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Боратный буфер (рН 9.0) с детергентом</w:t>
      </w:r>
    </w:p>
    <w:p w:rsidR="00484F97" w:rsidRPr="00484F97" w:rsidRDefault="00484F97" w:rsidP="00484F97">
      <w:pPr>
        <w:spacing w:after="0"/>
        <w:rPr>
          <w:rFonts w:ascii="Astana Pro" w:eastAsia="Times New Roman" w:hAnsi="Astana Pro" w:cs="Times New Roman"/>
          <w:b/>
          <w:sz w:val="24"/>
          <w:szCs w:val="24"/>
        </w:rPr>
      </w:pPr>
      <w:r w:rsidRPr="00484F97">
        <w:rPr>
          <w:rFonts w:ascii="Astana Pro" w:eastAsia="Times New Roman" w:hAnsi="Astana Pro" w:cs="Times New Roman"/>
          <w:b/>
          <w:sz w:val="24"/>
          <w:szCs w:val="24"/>
        </w:rPr>
        <w:t>C – Контроль  1 х 0.5 мл</w:t>
      </w:r>
    </w:p>
    <w:p w:rsidR="00484F97" w:rsidRPr="00484F97" w:rsidRDefault="00484F97" w:rsidP="00484F97">
      <w:pPr>
        <w:spacing w:after="0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Человеческая сыворотка с добавлением очищенного СРБ</w:t>
      </w:r>
    </w:p>
    <w:p w:rsidR="00484F97" w:rsidRPr="00484F97" w:rsidRDefault="00484F97" w:rsidP="00484F97">
      <w:pPr>
        <w:spacing w:after="0"/>
        <w:rPr>
          <w:rFonts w:ascii="Astana Pro" w:eastAsia="Times New Roman" w:hAnsi="Astana Pro" w:cs="Times New Roman"/>
          <w:b/>
          <w:sz w:val="24"/>
          <w:szCs w:val="24"/>
        </w:rPr>
      </w:pPr>
      <w:r w:rsidRPr="00484F97">
        <w:rPr>
          <w:rFonts w:ascii="Astana Pro" w:eastAsia="Times New Roman" w:hAnsi="Astana Pro" w:cs="Times New Roman"/>
          <w:b/>
          <w:sz w:val="24"/>
          <w:szCs w:val="24"/>
        </w:rPr>
        <w:t>Капилляры  60 шт</w:t>
      </w:r>
    </w:p>
    <w:p w:rsidR="00484F97" w:rsidRPr="00484F97" w:rsidRDefault="00484F97" w:rsidP="00484F97">
      <w:pPr>
        <w:spacing w:after="0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Стеклянные капилляры объемом 5 мкл</w:t>
      </w:r>
    </w:p>
    <w:p w:rsidR="00484F97" w:rsidRDefault="00484F97" w:rsidP="00484F97">
      <w:pPr>
        <w:spacing w:after="0" w:line="240" w:lineRule="auto"/>
        <w:ind w:right="-1" w:firstLine="567"/>
        <w:rPr>
          <w:rFonts w:ascii="Astana Pro" w:eastAsia="Times New Roman" w:hAnsi="Astana Pro" w:cs="Times New Roman"/>
          <w:b/>
          <w:sz w:val="24"/>
          <w:szCs w:val="24"/>
        </w:rPr>
      </w:pPr>
      <w:r w:rsidRPr="00484F97">
        <w:rPr>
          <w:rFonts w:ascii="Astana Pro" w:eastAsia="Times New Roman" w:hAnsi="Astana Pro" w:cs="Times New Roman"/>
          <w:b/>
          <w:sz w:val="24"/>
          <w:szCs w:val="24"/>
        </w:rPr>
        <w:t>Необходимые, но не поставляемые материалы и оборудование</w:t>
      </w:r>
    </w:p>
    <w:p w:rsidR="00484F97" w:rsidRPr="00484F97" w:rsidRDefault="00484F97" w:rsidP="00484F97">
      <w:pPr>
        <w:spacing w:after="0" w:line="240" w:lineRule="auto"/>
        <w:ind w:right="-1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•</w:t>
      </w:r>
      <w:r w:rsidRPr="00484F97">
        <w:rPr>
          <w:rFonts w:ascii="Astana Pro" w:eastAsia="Times New Roman" w:hAnsi="Astana Pro" w:cs="Times New Roman"/>
          <w:sz w:val="24"/>
          <w:szCs w:val="24"/>
        </w:rPr>
        <w:tab/>
        <w:t>Пипетки на 50 мкл с наконечниками</w:t>
      </w:r>
    </w:p>
    <w:p w:rsidR="00484F97" w:rsidRPr="00484F97" w:rsidRDefault="00484F97" w:rsidP="00484F97">
      <w:pPr>
        <w:spacing w:after="0" w:line="240" w:lineRule="auto"/>
        <w:ind w:right="-1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•</w:t>
      </w:r>
      <w:r w:rsidRPr="00484F97">
        <w:rPr>
          <w:rFonts w:ascii="Astana Pro" w:eastAsia="Times New Roman" w:hAnsi="Astana Pro" w:cs="Times New Roman"/>
          <w:sz w:val="24"/>
          <w:szCs w:val="24"/>
        </w:rPr>
        <w:tab/>
        <w:t>Держатель капилляров</w:t>
      </w:r>
    </w:p>
    <w:p w:rsidR="00484F97" w:rsidRPr="00484F97" w:rsidRDefault="00484F97" w:rsidP="00484F97">
      <w:pPr>
        <w:spacing w:after="0" w:line="240" w:lineRule="auto"/>
        <w:ind w:right="-1"/>
        <w:rPr>
          <w:rFonts w:ascii="Astana Pro" w:eastAsia="Times New Roman" w:hAnsi="Astana Pro" w:cs="Times New Roman"/>
          <w:sz w:val="24"/>
          <w:szCs w:val="24"/>
        </w:rPr>
      </w:pPr>
      <w:r w:rsidRPr="00484F97">
        <w:rPr>
          <w:rFonts w:ascii="Astana Pro" w:eastAsia="Times New Roman" w:hAnsi="Astana Pro" w:cs="Times New Roman"/>
          <w:sz w:val="24"/>
          <w:szCs w:val="24"/>
        </w:rPr>
        <w:t>•</w:t>
      </w:r>
      <w:r w:rsidRPr="00484F97">
        <w:rPr>
          <w:rFonts w:ascii="Astana Pro" w:eastAsia="Times New Roman" w:hAnsi="Astana Pro" w:cs="Times New Roman"/>
          <w:sz w:val="24"/>
          <w:szCs w:val="24"/>
        </w:rPr>
        <w:tab/>
        <w:t>NycoCard READER II</w:t>
      </w:r>
    </w:p>
    <w:p w:rsidR="00484F97" w:rsidRPr="00484F97" w:rsidRDefault="00484F97" w:rsidP="00484F97">
      <w:pPr>
        <w:spacing w:after="0" w:line="240" w:lineRule="auto"/>
        <w:ind w:right="-1"/>
        <w:rPr>
          <w:rFonts w:ascii="Astana Pro" w:eastAsia="Times New Roman" w:hAnsi="Astana Pro" w:cs="Times New Roman"/>
          <w:b/>
          <w:sz w:val="24"/>
          <w:szCs w:val="24"/>
        </w:rPr>
      </w:pPr>
      <w:bookmarkStart w:id="0" w:name="_GoBack"/>
      <w:bookmarkEnd w:id="0"/>
    </w:p>
    <w:p w:rsidR="00484F97" w:rsidRPr="00484F97" w:rsidRDefault="00484F97" w:rsidP="00484F97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ru-RU"/>
        </w:rPr>
      </w:pPr>
      <w:r>
        <w:br w:type="column"/>
      </w:r>
    </w:p>
    <w:sectPr w:rsidR="00484F97" w:rsidRPr="0048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97"/>
    <w:rsid w:val="00240867"/>
    <w:rsid w:val="002410F3"/>
    <w:rsid w:val="004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9A79-52B8-4A91-B584-7757B22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1"/>
    <w:qFormat/>
    <w:rsid w:val="00484F97"/>
    <w:pPr>
      <w:widowControl w:val="0"/>
      <w:spacing w:after="0" w:line="240" w:lineRule="auto"/>
      <w:ind w:left="146"/>
      <w:outlineLvl w:val="2"/>
    </w:pPr>
    <w:rPr>
      <w:rFonts w:ascii="Times New Roman" w:eastAsia="Times New Roman" w:hAnsi="Times New Roman"/>
      <w:b/>
      <w:bCs/>
      <w:sz w:val="20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84F97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a3">
    <w:name w:val="Body Text"/>
    <w:basedOn w:val="a"/>
    <w:link w:val="a4"/>
    <w:uiPriority w:val="1"/>
    <w:qFormat/>
    <w:rsid w:val="00484F97"/>
    <w:pPr>
      <w:widowControl w:val="0"/>
      <w:spacing w:after="0" w:line="240" w:lineRule="auto"/>
      <w:ind w:left="146"/>
    </w:pPr>
    <w:rPr>
      <w:rFonts w:ascii="Times New Roman" w:eastAsia="Times New Roman" w:hAnsi="Times New Roman"/>
      <w:sz w:val="20"/>
      <w:szCs w:val="20"/>
      <w:lang w:val="en-US" w:bidi="ar-SA"/>
    </w:rPr>
  </w:style>
  <w:style w:type="character" w:customStyle="1" w:styleId="a4">
    <w:name w:val="Основной текст Знак"/>
    <w:basedOn w:val="a0"/>
    <w:link w:val="a3"/>
    <w:uiPriority w:val="1"/>
    <w:rsid w:val="00484F97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1</cp:revision>
  <dcterms:created xsi:type="dcterms:W3CDTF">2017-10-20T03:27:00Z</dcterms:created>
  <dcterms:modified xsi:type="dcterms:W3CDTF">2017-10-20T03:39:00Z</dcterms:modified>
</cp:coreProperties>
</file>